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怒江</w:t>
      </w:r>
      <w:r>
        <w:rPr>
          <w:rFonts w:hint="eastAsia" w:ascii="方正小标宋简体" w:eastAsia="方正小标宋简体"/>
          <w:sz w:val="44"/>
          <w:szCs w:val="44"/>
        </w:rPr>
        <w:t>文化旅游集团有限公司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市场化选聘总经理职位说明书</w:t>
      </w:r>
    </w:p>
    <w:p>
      <w:pPr>
        <w:pStyle w:val="2"/>
        <w:widowControl/>
        <w:shd w:val="clear" w:color="auto" w:fill="FDFEFF"/>
        <w:spacing w:beforeAutospacing="0" w:afterAutospacing="0"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3"/>
        <w:tblW w:w="934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FDFE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1"/>
        <w:gridCol w:w="783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DFE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1501" w:type="dxa"/>
            <w:tcBorders>
              <w:bottom w:val="single" w:color="auto" w:sz="6" w:space="0"/>
              <w:right w:val="single" w:color="auto" w:sz="6" w:space="0"/>
            </w:tcBorders>
            <w:shd w:val="clear" w:color="auto" w:fill="FDFEFF"/>
            <w:tcMar>
              <w:left w:w="101" w:type="dxa"/>
              <w:right w:w="101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企业名称</w:t>
            </w:r>
          </w:p>
        </w:tc>
        <w:tc>
          <w:tcPr>
            <w:tcW w:w="7839" w:type="dxa"/>
            <w:tcBorders>
              <w:left w:val="single" w:color="auto" w:sz="6" w:space="0"/>
              <w:bottom w:val="single" w:color="auto" w:sz="6" w:space="0"/>
            </w:tcBorders>
            <w:shd w:val="clear" w:color="auto" w:fill="FDFEFF"/>
            <w:tcMar>
              <w:left w:w="101" w:type="dxa"/>
              <w:right w:w="101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32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  <w:lang w:val="en-US" w:eastAsia="zh-CN"/>
              </w:rPr>
              <w:t>怒江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文化旅游集团有限公司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150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FEFF"/>
            <w:tcMar>
              <w:left w:w="101" w:type="dxa"/>
              <w:right w:w="101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选聘职位</w:t>
            </w:r>
          </w:p>
        </w:tc>
        <w:tc>
          <w:tcPr>
            <w:tcW w:w="7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FDFEFF"/>
            <w:tcMar>
              <w:left w:w="101" w:type="dxa"/>
              <w:right w:w="101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32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  <w:lang w:val="en-US" w:eastAsia="zh-CN"/>
              </w:rPr>
              <w:t>怒江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文化旅游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集团有限公司总经理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7" w:hRule="atLeast"/>
        </w:trPr>
        <w:tc>
          <w:tcPr>
            <w:tcW w:w="150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FEFF"/>
            <w:tcMar>
              <w:left w:w="101" w:type="dxa"/>
              <w:right w:w="101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职位职责</w:t>
            </w:r>
          </w:p>
        </w:tc>
        <w:tc>
          <w:tcPr>
            <w:tcW w:w="7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FDFEFF"/>
            <w:tcMar>
              <w:left w:w="101" w:type="dxa"/>
              <w:right w:w="101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360" w:lineRule="exact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(一)主持集团的经营管理工作，组织实施董事会的决议;</w:t>
            </w:r>
          </w:p>
          <w:p>
            <w:pPr>
              <w:pStyle w:val="2"/>
              <w:widowControl/>
              <w:spacing w:beforeAutospacing="0" w:afterAutospacing="0" w:line="360" w:lineRule="exact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(二)拟订集团战略和发展规划、经营计划，并组织实施;</w:t>
            </w:r>
          </w:p>
          <w:p>
            <w:pPr>
              <w:pStyle w:val="2"/>
              <w:widowControl/>
              <w:spacing w:beforeAutospacing="0" w:afterAutospacing="0" w:line="360" w:lineRule="exact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(三)拟订集团投资计划和投资方案,并组织实施;</w:t>
            </w:r>
          </w:p>
          <w:p>
            <w:pPr>
              <w:pStyle w:val="2"/>
              <w:widowControl/>
              <w:spacing w:beforeAutospacing="0" w:afterAutospacing="0" w:line="360" w:lineRule="exact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(四)拟订集团年度财务预算方案、决算方案，利润分配方案和弥补亏损方案;</w:t>
            </w:r>
          </w:p>
          <w:p>
            <w:pPr>
              <w:pStyle w:val="2"/>
              <w:widowControl/>
              <w:spacing w:beforeAutospacing="0" w:afterAutospacing="0" w:line="360" w:lineRule="exact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(五)拟订集团内部管理机构设置方案、集团分支机构的设立或者撤销方案;</w:t>
            </w:r>
          </w:p>
          <w:p>
            <w:pPr>
              <w:pStyle w:val="2"/>
              <w:widowControl/>
              <w:spacing w:beforeAutospacing="0" w:afterAutospacing="0" w:line="360" w:lineRule="exact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(六)拟订集团的基本管理制度，制定集团的具体规章;</w:t>
            </w:r>
          </w:p>
          <w:p>
            <w:pPr>
              <w:pStyle w:val="2"/>
              <w:widowControl/>
              <w:spacing w:beforeAutospacing="0" w:afterAutospacing="0" w:line="360" w:lineRule="exact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(七)拟订集团建立风险管理体系、内部控制体系、违规经营投资责任追究工作体系和法律合规管理体系的方案，经董事会批准后组织实施;</w:t>
            </w:r>
          </w:p>
          <w:p>
            <w:pPr>
              <w:pStyle w:val="2"/>
              <w:widowControl/>
              <w:spacing w:beforeAutospacing="0" w:afterAutospacing="0" w:line="360" w:lineRule="exact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(八)建立总经理办公会制度，召集和主持集团总经理办公会议;</w:t>
            </w:r>
          </w:p>
          <w:p>
            <w:pPr>
              <w:pStyle w:val="2"/>
              <w:widowControl/>
              <w:spacing w:beforeAutospacing="0" w:afterAutospacing="0" w:line="360" w:lineRule="exact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(九)协调、检查和督促各部门、各子企业的生产经营和改革、管理工作;</w:t>
            </w:r>
          </w:p>
          <w:p>
            <w:pPr>
              <w:pStyle w:val="2"/>
              <w:widowControl/>
              <w:spacing w:beforeAutospacing="0" w:afterAutospacing="0" w:line="360" w:lineRule="exact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(十)法律、行政法规、集团章程规定和董事会授权行使的其他职权。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0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FEFF"/>
            <w:tcMar>
              <w:left w:w="101" w:type="dxa"/>
              <w:right w:w="101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经营目标</w:t>
            </w:r>
          </w:p>
        </w:tc>
        <w:tc>
          <w:tcPr>
            <w:tcW w:w="7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FDFEFF"/>
            <w:tcMar>
              <w:left w:w="101" w:type="dxa"/>
              <w:right w:w="101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36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业绩目标、考核指标、薪酬待遇、退出机制以双方签订的《岗位聘用协议书》《年度经营业绩目标责任书》《任期经营业绩目标责任书》为准。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1501" w:type="dxa"/>
            <w:tcBorders>
              <w:top w:val="single" w:color="auto" w:sz="6" w:space="0"/>
              <w:right w:val="single" w:color="auto" w:sz="6" w:space="0"/>
            </w:tcBorders>
            <w:shd w:val="clear" w:color="auto" w:fill="FDFEFF"/>
            <w:tcMar>
              <w:left w:w="101" w:type="dxa"/>
              <w:right w:w="101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咨询方式</w:t>
            </w:r>
          </w:p>
        </w:tc>
        <w:tc>
          <w:tcPr>
            <w:tcW w:w="7839" w:type="dxa"/>
            <w:tcBorders>
              <w:top w:val="single" w:color="auto" w:sz="6" w:space="0"/>
              <w:left w:val="single" w:color="auto" w:sz="6" w:space="0"/>
            </w:tcBorders>
            <w:shd w:val="clear" w:color="auto" w:fill="FDFEFF"/>
            <w:tcMar>
              <w:left w:w="101" w:type="dxa"/>
              <w:right w:w="101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360" w:lineRule="exact"/>
              <w:jc w:val="both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联系电话：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  <w:lang w:val="en-US" w:eastAsia="zh-CN"/>
              </w:rPr>
              <w:t>18988380304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3753DF"/>
    <w:rsid w:val="62B9247C"/>
    <w:rsid w:val="7EFFAFE2"/>
    <w:rsid w:val="FBDFA1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477</Words>
  <Characters>488</Characters>
  <Lines>0</Lines>
  <Paragraphs>0</Paragraphs>
  <TotalTime>0</TotalTime>
  <ScaleCrop>false</ScaleCrop>
  <LinksUpToDate>false</LinksUpToDate>
  <CharactersWithSpaces>488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huawei</cp:lastModifiedBy>
  <dcterms:modified xsi:type="dcterms:W3CDTF">2024-12-27T16:00:18Z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38CCA9D7C13149DFAF653FA79DDA57DB_12</vt:lpwstr>
  </property>
</Properties>
</file>